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39" w:rsidRPr="001E1C39" w:rsidRDefault="001E1C39" w:rsidP="001E1C39">
      <w:pPr>
        <w:pStyle w:val="TitleHeader"/>
        <w:rPr>
          <w:sz w:val="24"/>
          <w:szCs w:val="24"/>
        </w:rPr>
      </w:pPr>
      <w:r w:rsidRPr="001E1C39">
        <w:rPr>
          <w:sz w:val="24"/>
          <w:szCs w:val="24"/>
        </w:rPr>
        <w:t>The role of FLI-1-EWS, a fusion gene reciprocal to EWS-FLI-1, in Ewing sarcoma</w:t>
      </w: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Supplementary Materials</w:t>
      </w: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Table S1 </w:t>
      </w:r>
      <w:r>
        <w:rPr>
          <w:rFonts w:ascii="Times New Roman" w:hAnsi="Times New Roman" w:cs="Times New Roman"/>
        </w:rPr>
        <w:t>Quantitative RT-PCR analysis of EWS-FLI-1, FLI-1-EWS, EWS, and FLI-1 expression in A673 cells.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 (</w:t>
            </w:r>
            <w:r w:rsidRPr="007D6B9B">
              <w:rPr>
                <w:rFonts w:ascii="Times New Roman" w:hAnsi="Times New Roman" w:cs="Times New Roman"/>
              </w:rPr>
              <w:t>standard deviation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EWS-FLI-1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0.416493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0.032531</w:t>
            </w:r>
          </w:p>
        </w:tc>
      </w:tr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FLI-1-EWS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0.002903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0.000302</w:t>
            </w:r>
          </w:p>
        </w:tc>
      </w:tr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1.237203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0.153295</w:t>
            </w:r>
          </w:p>
        </w:tc>
      </w:tr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FLI-1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0.002466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0.000193</w:t>
            </w:r>
          </w:p>
        </w:tc>
      </w:tr>
    </w:tbl>
    <w:p w:rsidR="001E1C39" w:rsidRPr="007D6B9B" w:rsidRDefault="001E1C39" w:rsidP="001E1C39">
      <w:pPr>
        <w:rPr>
          <w:rFonts w:ascii="Times New Roman" w:hAnsi="Times New Roman" w:cs="Times New Roman"/>
        </w:rPr>
      </w:pPr>
    </w:p>
    <w:p w:rsidR="001E1C39" w:rsidRPr="007D6B9B" w:rsidRDefault="001E1C39" w:rsidP="001E1C39">
      <w:pPr>
        <w:rPr>
          <w:rFonts w:ascii="Times New Roman" w:hAnsi="Times New Roman" w:cs="Times New Roman"/>
        </w:rPr>
      </w:pPr>
      <w:r w:rsidRPr="007D6B9B">
        <w:rPr>
          <w:rFonts w:ascii="Times New Roman" w:hAnsi="Times New Roman" w:cs="Times New Roman"/>
        </w:rPr>
        <w:t>*Average of triplicate measurements normalized against RNA polymerase II transcript levels.</w:t>
      </w: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Table S2</w:t>
      </w:r>
      <w:r>
        <w:rPr>
          <w:rFonts w:ascii="Times New Roman" w:hAnsi="Times New Roman" w:cs="Times New Roman"/>
        </w:rPr>
        <w:t xml:space="preserve"> Quantitative RT-PCR analysis of FLI-1 expression in human mesenchymal stem cells vs. A673 cells.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</w:tr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MSC FLI-1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0.985257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86769</w:t>
            </w:r>
          </w:p>
        </w:tc>
      </w:tr>
      <w:tr w:rsidR="001E1C39" w:rsidRPr="007D6B9B" w:rsidTr="004A33EA"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A673 FLI-1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0.002119</w:t>
            </w:r>
          </w:p>
        </w:tc>
        <w:tc>
          <w:tcPr>
            <w:tcW w:w="3192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0.001002</w:t>
            </w:r>
          </w:p>
        </w:tc>
      </w:tr>
    </w:tbl>
    <w:p w:rsidR="001E1C39" w:rsidRPr="007D6B9B" w:rsidRDefault="001E1C39" w:rsidP="001E1C39">
      <w:pPr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  <w:r w:rsidRPr="007D6B9B">
        <w:rPr>
          <w:rFonts w:ascii="Times New Roman" w:hAnsi="Times New Roman" w:cs="Times New Roman"/>
        </w:rPr>
        <w:t>*Average of triplicate measurements normalized against RNA polymerase II transcript levels</w:t>
      </w: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Table S3</w:t>
      </w:r>
      <w:r>
        <w:rPr>
          <w:rFonts w:ascii="Times New Roman" w:hAnsi="Times New Roman" w:cs="Times New Roman"/>
        </w:rPr>
        <w:t xml:space="preserve"> Quantitative RT-PCR analysis of EWS-FLI-1, FLI-1-EWS, EWS, and FLI-1 expression in Ewing sarcoma tumors.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1E1C39" w:rsidTr="004A33EA">
        <w:tc>
          <w:tcPr>
            <w:tcW w:w="1464" w:type="dxa"/>
          </w:tcPr>
          <w:p w:rsidR="001E1C39" w:rsidRDefault="001E1C39" w:rsidP="004A33EA"/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FNY</w:t>
            </w: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 w:rsidRPr="008E4C10">
              <w:rPr>
                <w:rFonts w:ascii="Times New Roman" w:hAnsi="Times New Roman" w:cs="Times New Roman"/>
                <w:b/>
              </w:rPr>
              <w:t>FXU</w:t>
            </w: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 w:rsidRPr="008E4C10">
              <w:rPr>
                <w:rFonts w:ascii="Times New Roman" w:hAnsi="Times New Roman" w:cs="Times New Roman"/>
                <w:b/>
              </w:rPr>
              <w:t>FNZ</w:t>
            </w: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 w:rsidRPr="008E4C10">
              <w:rPr>
                <w:rFonts w:ascii="Times New Roman" w:hAnsi="Times New Roman" w:cs="Times New Roman"/>
                <w:b/>
              </w:rPr>
              <w:t>FXZ</w:t>
            </w:r>
          </w:p>
        </w:tc>
        <w:tc>
          <w:tcPr>
            <w:tcW w:w="1464" w:type="dxa"/>
          </w:tcPr>
          <w:p w:rsidR="001E1C39" w:rsidRDefault="001E1C39" w:rsidP="004A33EA"/>
        </w:tc>
      </w:tr>
      <w:tr w:rsidR="001E1C39" w:rsidTr="004A33EA">
        <w:tc>
          <w:tcPr>
            <w:tcW w:w="1464" w:type="dxa"/>
          </w:tcPr>
          <w:p w:rsidR="001E1C39" w:rsidRDefault="001E1C39" w:rsidP="004A33EA"/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EWS-FLI-1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1.146272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0.061594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1.205752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0.017396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1.200642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0.091347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0.759027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0.113066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FLI-1-EWS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0.030707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0.002039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0.004003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0.001541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0.007592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0.002824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0.025450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0.006256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1.163902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0.096999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1.115651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0.060653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1.750794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0.221265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2.176045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0.083319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FLI-1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0.466359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0.039897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0.087819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0.014144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1.212170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0.104840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1.169748</w:t>
            </w:r>
          </w:p>
        </w:tc>
        <w:tc>
          <w:tcPr>
            <w:tcW w:w="1464" w:type="dxa"/>
          </w:tcPr>
          <w:p w:rsidR="001E1C39" w:rsidRPr="000A4D7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0A4D7B">
              <w:rPr>
                <w:rFonts w:ascii="Times New Roman" w:hAnsi="Times New Roman" w:cs="Times New Roman"/>
              </w:rPr>
              <w:t>0.298578</w:t>
            </w:r>
          </w:p>
        </w:tc>
      </w:tr>
    </w:tbl>
    <w:p w:rsidR="001E1C39" w:rsidRPr="007D6B9B" w:rsidRDefault="001E1C39" w:rsidP="001E1C39">
      <w:pPr>
        <w:rPr>
          <w:rFonts w:ascii="Times New Roman" w:hAnsi="Times New Roman" w:cs="Times New Roman"/>
        </w:rPr>
      </w:pPr>
    </w:p>
    <w:p w:rsidR="001E1C39" w:rsidRPr="007D6B9B" w:rsidRDefault="001E1C39" w:rsidP="001E1C39">
      <w:pPr>
        <w:rPr>
          <w:rFonts w:ascii="Times New Roman" w:hAnsi="Times New Roman" w:cs="Times New Roman"/>
        </w:rPr>
      </w:pPr>
      <w:r w:rsidRPr="007D6B9B">
        <w:rPr>
          <w:rFonts w:ascii="Times New Roman" w:hAnsi="Times New Roman" w:cs="Times New Roman"/>
        </w:rPr>
        <w:t>*Average of triplicate measurements normalized against RNA polymerase II transcript levels.</w:t>
      </w: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b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</w:pPr>
      <w:proofErr w:type="gramStart"/>
      <w:r>
        <w:rPr>
          <w:b/>
        </w:rPr>
        <w:t>Table S4</w:t>
      </w:r>
      <w:r>
        <w:t xml:space="preserve"> List of genes displaying differential expression upon FLI-1-EWS silencing.</w:t>
      </w:r>
      <w:proofErr w:type="gramEnd"/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419 differentially expressed genes derived from </w:t>
      </w:r>
      <w:proofErr w:type="spellStart"/>
      <w:r>
        <w:rPr>
          <w:rFonts w:ascii="Times New Roman" w:hAnsi="Times New Roman" w:cs="Times New Roman"/>
        </w:rPr>
        <w:t>DESeq</w:t>
      </w:r>
      <w:proofErr w:type="spellEnd"/>
      <w:r>
        <w:rPr>
          <w:rFonts w:ascii="Times New Roman" w:hAnsi="Times New Roman" w:cs="Times New Roman"/>
        </w:rPr>
        <w:t xml:space="preserve"> algorithm, with RPKM of one condition (luciferase shRNA-expressing sample or FLI-1-EWS shRNA-expressing sample) &gt; 1, absolute Log2-FoldChange &gt; 1, and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-value &lt; 0.05. Columns are 1) Gene Symbol, 2) </w:t>
      </w:r>
      <w:proofErr w:type="spellStart"/>
      <w:r>
        <w:rPr>
          <w:rFonts w:ascii="Times New Roman" w:hAnsi="Times New Roman" w:cs="Times New Roman"/>
        </w:rPr>
        <w:t>baseMean</w:t>
      </w:r>
      <w:proofErr w:type="spellEnd"/>
      <w:r>
        <w:rPr>
          <w:rFonts w:ascii="Times New Roman" w:hAnsi="Times New Roman" w:cs="Times New Roman"/>
        </w:rPr>
        <w:t xml:space="preserve"> (mean normalized counts of luciferase shRNA-expressing sample and FLI-1-EWS shRNA-expressing sample), 3) baseMean1 (normalized counts of luciferase shRNA-expressing sample), 4) baseMean2 (normalized counts of FLI-1-EWS shRNA-expressing sample), 5) fold-change (the ratio of baseMean2 to baseMean1), 6) Log2-FoldChange, 7)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-value (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-value for the statistical significance of the gene expression change), and 8) adj.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-value (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-value adjusted for multiple testing with the </w:t>
      </w:r>
      <w:proofErr w:type="spellStart"/>
      <w:r>
        <w:rPr>
          <w:rFonts w:ascii="Times New Roman" w:hAnsi="Times New Roman" w:cs="Times New Roman"/>
        </w:rPr>
        <w:t>Benjamini</w:t>
      </w:r>
      <w:proofErr w:type="spellEnd"/>
      <w:r>
        <w:rPr>
          <w:rFonts w:ascii="Times New Roman" w:hAnsi="Times New Roman" w:cs="Times New Roman"/>
        </w:rPr>
        <w:t xml:space="preserve">-Hochberg procedure). The table is pre-sorted by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-values.</w:t>
      </w: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1E1C39" w:rsidRDefault="001E1C39" w:rsidP="001E1C39">
      <w:p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S5</w:t>
      </w:r>
      <w:r>
        <w:rPr>
          <w:rFonts w:ascii="Times New Roman" w:hAnsi="Times New Roman" w:cs="Times New Roman"/>
        </w:rPr>
        <w:t xml:space="preserve"> Quantitative RT-PCR analysis of EWS-FLI-1, FLI-1-EWS, EWS, and FLI-1 expression in human mesenchymal stem cells infected with lentiviruses expressing EWS-FLI-1 and/or FLI-1-EWS.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1E1C39" w:rsidTr="004A33EA">
        <w:tc>
          <w:tcPr>
            <w:tcW w:w="1464" w:type="dxa"/>
          </w:tcPr>
          <w:p w:rsidR="001E1C39" w:rsidRDefault="001E1C39" w:rsidP="004A33EA"/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vector</w:t>
            </w: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EWS-FLI-1</w:t>
            </w: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E1C39" w:rsidRDefault="001E1C39" w:rsidP="004A33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EWS-FLI-1</w:t>
            </w:r>
          </w:p>
          <w:p w:rsidR="001E1C39" w:rsidRDefault="001E1C39" w:rsidP="004A33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  <w:p w:rsidR="001E1C39" w:rsidRPr="008E4C10" w:rsidRDefault="001E1C39" w:rsidP="004A33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FLI-1-EWS</w:t>
            </w: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E1C39" w:rsidRPr="008E4C10" w:rsidRDefault="001E1C39" w:rsidP="004A33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FLI-1-EWS</w:t>
            </w:r>
          </w:p>
        </w:tc>
        <w:tc>
          <w:tcPr>
            <w:tcW w:w="1464" w:type="dxa"/>
          </w:tcPr>
          <w:p w:rsidR="001E1C39" w:rsidRDefault="001E1C39" w:rsidP="004A33EA"/>
        </w:tc>
      </w:tr>
      <w:tr w:rsidR="001E1C39" w:rsidTr="004A33EA">
        <w:tc>
          <w:tcPr>
            <w:tcW w:w="1464" w:type="dxa"/>
          </w:tcPr>
          <w:p w:rsidR="001E1C39" w:rsidRDefault="001E1C39" w:rsidP="004A33EA"/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average*</w:t>
            </w:r>
          </w:p>
        </w:tc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EWS-FLI-1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0.740486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0.009417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0.834132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0.056353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FLI-1-EWS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0.009797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0.000799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0.013017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0.001496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1.417851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0.083748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1.461751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0.064151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1.311592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0.01369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1.505269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0.112527</w:t>
            </w:r>
          </w:p>
        </w:tc>
      </w:tr>
      <w:tr w:rsidR="001E1C39" w:rsidTr="004A33EA">
        <w:tc>
          <w:tcPr>
            <w:tcW w:w="1464" w:type="dxa"/>
          </w:tcPr>
          <w:p w:rsidR="001E1C39" w:rsidRPr="007D6B9B" w:rsidRDefault="001E1C39" w:rsidP="004A33EA">
            <w:pPr>
              <w:jc w:val="center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FLI-1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0.437177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0.011827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0.362344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0.022263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0.391498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0.018944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0.375621</w:t>
            </w:r>
          </w:p>
        </w:tc>
        <w:tc>
          <w:tcPr>
            <w:tcW w:w="1464" w:type="dxa"/>
            <w:vAlign w:val="bottom"/>
          </w:tcPr>
          <w:p w:rsidR="001E1C39" w:rsidRPr="00D7578A" w:rsidRDefault="001E1C39" w:rsidP="004A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78A">
              <w:rPr>
                <w:rFonts w:ascii="Times New Roman" w:hAnsi="Times New Roman" w:cs="Times New Roman"/>
                <w:color w:val="000000"/>
              </w:rPr>
              <w:t>0.025337</w:t>
            </w:r>
          </w:p>
        </w:tc>
      </w:tr>
    </w:tbl>
    <w:p w:rsidR="001E1C39" w:rsidRPr="007D6B9B" w:rsidRDefault="001E1C39" w:rsidP="001E1C39">
      <w:pPr>
        <w:rPr>
          <w:rFonts w:ascii="Times New Roman" w:hAnsi="Times New Roman" w:cs="Times New Roman"/>
        </w:rPr>
      </w:pPr>
    </w:p>
    <w:p w:rsidR="001E1C39" w:rsidRPr="007D6B9B" w:rsidRDefault="001E1C39" w:rsidP="001E1C39">
      <w:pPr>
        <w:rPr>
          <w:rFonts w:ascii="Times New Roman" w:hAnsi="Times New Roman" w:cs="Times New Roman"/>
        </w:rPr>
      </w:pPr>
      <w:r w:rsidRPr="007D6B9B">
        <w:rPr>
          <w:rFonts w:ascii="Times New Roman" w:hAnsi="Times New Roman" w:cs="Times New Roman"/>
        </w:rPr>
        <w:t>*Average of triplicate measurements normalized against RNA polymerase II transcript levels.</w:t>
      </w:r>
    </w:p>
    <w:p w:rsidR="006D3AC5" w:rsidRDefault="006D3AC5" w:rsidP="001E1C39">
      <w:bookmarkStart w:id="0" w:name="_GoBack"/>
      <w:bookmarkEnd w:id="0"/>
    </w:p>
    <w:sectPr w:rsidR="006D3AC5" w:rsidSect="001E1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9"/>
    <w:rsid w:val="001E1C39"/>
    <w:rsid w:val="004E737B"/>
    <w:rsid w:val="006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39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er">
    <w:name w:val="Title (Header)"/>
    <w:basedOn w:val="Normal"/>
    <w:uiPriority w:val="99"/>
    <w:rsid w:val="001E1C39"/>
    <w:pPr>
      <w:suppressAutoHyphens/>
      <w:adjustRightInd w:val="0"/>
      <w:spacing w:after="240" w:line="288" w:lineRule="auto"/>
      <w:textAlignment w:val="center"/>
    </w:pPr>
    <w:rPr>
      <w:rFonts w:ascii="Verdana" w:eastAsiaTheme="minorHAnsi" w:hAnsi="Verdana" w:cs="Verdana"/>
      <w:b/>
      <w:bCs/>
      <w:color w:val="8E44AD"/>
      <w:sz w:val="28"/>
      <w:szCs w:val="28"/>
    </w:rPr>
  </w:style>
  <w:style w:type="table" w:styleId="TableGrid">
    <w:name w:val="Table Grid"/>
    <w:basedOn w:val="TableNormal"/>
    <w:uiPriority w:val="59"/>
    <w:rsid w:val="001E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39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er">
    <w:name w:val="Title (Header)"/>
    <w:basedOn w:val="Normal"/>
    <w:uiPriority w:val="99"/>
    <w:rsid w:val="001E1C39"/>
    <w:pPr>
      <w:suppressAutoHyphens/>
      <w:adjustRightInd w:val="0"/>
      <w:spacing w:after="240" w:line="288" w:lineRule="auto"/>
      <w:textAlignment w:val="center"/>
    </w:pPr>
    <w:rPr>
      <w:rFonts w:ascii="Verdana" w:eastAsiaTheme="minorHAnsi" w:hAnsi="Verdana" w:cs="Verdana"/>
      <w:b/>
      <w:bCs/>
      <w:color w:val="8E44AD"/>
      <w:sz w:val="28"/>
      <w:szCs w:val="28"/>
    </w:rPr>
  </w:style>
  <w:style w:type="table" w:styleId="TableGrid">
    <w:name w:val="Table Grid"/>
    <w:basedOn w:val="TableNormal"/>
    <w:uiPriority w:val="59"/>
    <w:rsid w:val="001E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kalyana moparthy</dc:creator>
  <cp:lastModifiedBy>kalyana moparthy</cp:lastModifiedBy>
  <cp:revision>2</cp:revision>
  <dcterms:created xsi:type="dcterms:W3CDTF">2015-11-06T03:40:00Z</dcterms:created>
  <dcterms:modified xsi:type="dcterms:W3CDTF">2017-01-26T03:12:00Z</dcterms:modified>
</cp:coreProperties>
</file>